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10F65EE" w14:textId="77777777" w:rsidR="000D59C4" w:rsidRPr="00E82FDC" w:rsidRDefault="000D59C4">
      <w:pPr>
        <w:widowControl w:val="0"/>
        <w:autoSpaceDE w:val="0"/>
        <w:autoSpaceDN w:val="0"/>
        <w:adjustRightInd w:val="0"/>
        <w:spacing w:before="100" w:after="0" w:line="240" w:lineRule="auto"/>
        <w:jc w:val="center"/>
        <w:rPr>
          <w:rFonts w:ascii="Palatino Linotype" w:hAnsi="Palatino Linotype" w:cs="Palatino Linotype"/>
          <w:color w:val="FF0000"/>
          <w:sz w:val="28"/>
          <w:szCs w:val="28"/>
          <w:lang w:val="en"/>
        </w:rPr>
      </w:pPr>
      <w:r w:rsidRPr="00E82FDC">
        <w:rPr>
          <w:rFonts w:ascii="Palatino Linotype" w:hAnsi="Palatino Linotype" w:cs="Palatino Linotype"/>
          <w:color w:val="FF0000"/>
          <w:sz w:val="28"/>
          <w:szCs w:val="28"/>
          <w:lang w:val="en"/>
        </w:rPr>
        <w:t>Sheaffer’s</w:t>
      </w:r>
      <w:r w:rsidRPr="00E82FDC">
        <w:rPr>
          <w:rFonts w:ascii="Palatino Linotype" w:hAnsi="Palatino Linotype" w:cs="Palatino Linotype"/>
          <w:b/>
          <w:bCs/>
          <w:color w:val="FF0000"/>
          <w:sz w:val="28"/>
          <w:szCs w:val="28"/>
          <w:lang w:val="en"/>
        </w:rPr>
        <w:t xml:space="preserve"> </w:t>
      </w:r>
      <w:r w:rsidRPr="00E82FDC">
        <w:rPr>
          <w:rFonts w:ascii="Palatino Linotype" w:hAnsi="Palatino Linotype" w:cs="Palatino Linotype"/>
          <w:color w:val="FF0000"/>
          <w:sz w:val="28"/>
          <w:szCs w:val="28"/>
          <w:lang w:val="en"/>
        </w:rPr>
        <w:t>One Stroke Plunger-Filler</w:t>
      </w:r>
    </w:p>
    <w:p w14:paraId="56C63D51" w14:textId="77777777" w:rsidR="000D59C4" w:rsidRDefault="000D59C4">
      <w:pPr>
        <w:widowControl w:val="0"/>
        <w:autoSpaceDE w:val="0"/>
        <w:autoSpaceDN w:val="0"/>
        <w:adjustRightInd w:val="0"/>
        <w:spacing w:before="100" w:after="0" w:line="240" w:lineRule="auto"/>
        <w:jc w:val="center"/>
        <w:rPr>
          <w:rFonts w:ascii="Palatino Linotype" w:hAnsi="Palatino Linotype" w:cs="Palatino Linotype"/>
          <w:b/>
          <w:bCs/>
          <w:sz w:val="28"/>
          <w:szCs w:val="28"/>
          <w:lang w:val="en"/>
        </w:rPr>
      </w:pPr>
      <w:r>
        <w:rPr>
          <w:rFonts w:ascii="Palatino Linotype" w:hAnsi="Palatino Linotype" w:cs="Palatino Linotype"/>
          <w:b/>
          <w:bCs/>
          <w:sz w:val="28"/>
          <w:szCs w:val="28"/>
          <w:lang w:val="en"/>
        </w:rPr>
        <w:t>Gerry Berg</w:t>
      </w:r>
    </w:p>
    <w:p w14:paraId="0E2B2ECF" w14:textId="77777777" w:rsidR="000D59C4" w:rsidRDefault="000D59C4">
      <w:pPr>
        <w:widowControl w:val="0"/>
        <w:autoSpaceDE w:val="0"/>
        <w:autoSpaceDN w:val="0"/>
        <w:adjustRightInd w:val="0"/>
        <w:spacing w:before="100" w:after="0" w:line="240" w:lineRule="auto"/>
        <w:jc w:val="center"/>
        <w:rPr>
          <w:rFonts w:ascii="Palatino Linotype" w:hAnsi="Palatino Linotype" w:cs="Palatino Linotype"/>
          <w:b/>
          <w:bCs/>
          <w:sz w:val="28"/>
          <w:szCs w:val="28"/>
          <w:lang w:val="en"/>
        </w:rPr>
      </w:pPr>
      <w:r>
        <w:rPr>
          <w:rFonts w:ascii="Palatino Linotype" w:hAnsi="Palatino Linotype" w:cs="Palatino Linotype"/>
          <w:b/>
          <w:bCs/>
          <w:sz w:val="28"/>
          <w:szCs w:val="28"/>
          <w:lang w:val="en"/>
        </w:rPr>
        <w:t>&lt;gberg@sbc.edu&gt;</w:t>
      </w:r>
    </w:p>
    <w:p w14:paraId="29AF81A2" w14:textId="77777777" w:rsidR="000D59C4" w:rsidRDefault="000D59C4">
      <w:pPr>
        <w:widowControl w:val="0"/>
        <w:autoSpaceDE w:val="0"/>
        <w:autoSpaceDN w:val="0"/>
        <w:adjustRightInd w:val="0"/>
        <w:spacing w:before="100" w:after="0" w:line="240" w:lineRule="auto"/>
        <w:jc w:val="center"/>
        <w:rPr>
          <w:rFonts w:ascii="Palatino Linotype" w:hAnsi="Palatino Linotype" w:cs="Palatino Linotype"/>
          <w:b/>
          <w:bCs/>
          <w:sz w:val="28"/>
          <w:szCs w:val="28"/>
          <w:lang w:val="en"/>
        </w:rPr>
      </w:pPr>
    </w:p>
    <w:p w14:paraId="4D0CF3CD" w14:textId="77777777" w:rsidR="000D59C4" w:rsidRDefault="000D59C4">
      <w:pPr>
        <w:widowControl w:val="0"/>
        <w:autoSpaceDE w:val="0"/>
        <w:autoSpaceDN w:val="0"/>
        <w:adjustRightInd w:val="0"/>
        <w:spacing w:after="0" w:line="240" w:lineRule="auto"/>
        <w:rPr>
          <w:rFonts w:ascii="Palatino Linotype" w:hAnsi="Palatino Linotype" w:cs="Palatino Linotype"/>
          <w:sz w:val="24"/>
          <w:szCs w:val="24"/>
          <w:lang w:val="en"/>
        </w:rPr>
      </w:pPr>
      <w:r>
        <w:rPr>
          <w:rFonts w:ascii="Palatino Linotype" w:hAnsi="Palatino Linotype" w:cs="Palatino Linotype"/>
          <w:sz w:val="24"/>
          <w:szCs w:val="24"/>
          <w:lang w:val="en"/>
        </w:rPr>
        <w:tab/>
        <w:t xml:space="preserve">For a full account of my approach to plunger-filler repair, see my article, "The Re-birth of Sheaffer's One Stroke Plunger-filler", in the Spring 2009 issue of </w:t>
      </w:r>
      <w:r>
        <w:rPr>
          <w:rFonts w:ascii="Palatino Linotype" w:hAnsi="Palatino Linotype" w:cs="Palatino Linotype"/>
          <w:i/>
          <w:iCs/>
          <w:sz w:val="24"/>
          <w:szCs w:val="24"/>
          <w:lang w:val="en"/>
        </w:rPr>
        <w:t>Pennant</w:t>
      </w:r>
      <w:r>
        <w:rPr>
          <w:rFonts w:ascii="Palatino Linotype" w:hAnsi="Palatino Linotype" w:cs="Palatino Linotype"/>
          <w:sz w:val="24"/>
          <w:szCs w:val="24"/>
          <w:lang w:val="en"/>
        </w:rPr>
        <w:t>, a publication of the Pen Collectors of America.  </w:t>
      </w:r>
    </w:p>
    <w:p w14:paraId="04F1D20C" w14:textId="77777777" w:rsidR="000D59C4" w:rsidRDefault="000D59C4">
      <w:pPr>
        <w:widowControl w:val="0"/>
        <w:autoSpaceDE w:val="0"/>
        <w:autoSpaceDN w:val="0"/>
        <w:adjustRightInd w:val="0"/>
        <w:spacing w:after="0" w:line="240" w:lineRule="auto"/>
        <w:rPr>
          <w:rFonts w:ascii="Palatino Linotype" w:hAnsi="Palatino Linotype" w:cs="Palatino Linotype"/>
          <w:sz w:val="24"/>
          <w:szCs w:val="24"/>
          <w:lang w:val="en"/>
        </w:rPr>
      </w:pPr>
      <w:r>
        <w:rPr>
          <w:rFonts w:ascii="Palatino Linotype" w:hAnsi="Palatino Linotype" w:cs="Palatino Linotype"/>
          <w:sz w:val="24"/>
          <w:szCs w:val="24"/>
          <w:lang w:val="en"/>
        </w:rPr>
        <w:tab/>
        <w:t>After pulling the plunger rod from the end of the barrel, ink or air contained within the pen barrel is expelled as the plunger rod is pushed back to its closed position, creating a vacuum in the barrel behind the rod’s piston.  When the plunger reaches the limit of its movement, the piston’s flexible washer  enters an enlarged portion of the barrel’s bore and releases the vacuum behind it. Ink is drawn in around the periphery of the washer and into the barrel. Nearly the entire internal volume of the barrel stores ink, thus increasing the pen’s ink capacity over its rivals.</w:t>
      </w:r>
    </w:p>
    <w:p w14:paraId="4C13D047" w14:textId="77777777" w:rsidR="000D59C4" w:rsidRDefault="000D59C4">
      <w:pPr>
        <w:widowControl w:val="0"/>
        <w:autoSpaceDE w:val="0"/>
        <w:autoSpaceDN w:val="0"/>
        <w:adjustRightInd w:val="0"/>
        <w:spacing w:after="0" w:line="240" w:lineRule="auto"/>
        <w:jc w:val="center"/>
        <w:rPr>
          <w:rFonts w:ascii="Times New Roman" w:hAnsi="Times New Roman" w:cs="Times New Roman"/>
          <w:sz w:val="20"/>
          <w:szCs w:val="20"/>
          <w:lang w:val="en"/>
        </w:rPr>
      </w:pPr>
    </w:p>
    <w:p w14:paraId="2F2A1D4B" w14:textId="77777777" w:rsidR="000D59C4" w:rsidRDefault="000D59C4">
      <w:pPr>
        <w:widowControl w:val="0"/>
        <w:autoSpaceDE w:val="0"/>
        <w:autoSpaceDN w:val="0"/>
        <w:adjustRightInd w:val="0"/>
        <w:spacing w:after="0" w:line="240" w:lineRule="auto"/>
        <w:jc w:val="center"/>
        <w:rPr>
          <w:rFonts w:ascii="Times New Roman" w:hAnsi="Times New Roman" w:cs="Times New Roman"/>
          <w:sz w:val="20"/>
          <w:szCs w:val="20"/>
          <w:lang w:val="en"/>
        </w:rPr>
      </w:pPr>
      <w:r>
        <w:rPr>
          <w:rFonts w:ascii="Times New Roman" w:hAnsi="Times New Roman" w:cs="Times New Roman"/>
          <w:sz w:val="20"/>
          <w:szCs w:val="20"/>
          <w:lang w:val="en"/>
        </w:rPr>
        <w:t>See US Patents1,926,405 (Sept. 12, 1933), and 1,983,682 (Dec. 11, 1934).</w:t>
      </w:r>
    </w:p>
    <w:p w14:paraId="7DB2967E" w14:textId="77777777" w:rsidR="000D59C4" w:rsidRDefault="000D59C4">
      <w:pPr>
        <w:widowControl w:val="0"/>
        <w:autoSpaceDE w:val="0"/>
        <w:autoSpaceDN w:val="0"/>
        <w:adjustRightInd w:val="0"/>
        <w:spacing w:after="0" w:line="240" w:lineRule="auto"/>
        <w:jc w:val="center"/>
        <w:rPr>
          <w:rFonts w:ascii="Times New Roman" w:hAnsi="Times New Roman" w:cs="Times New Roman"/>
          <w:sz w:val="20"/>
          <w:szCs w:val="20"/>
          <w:lang w:val="en"/>
        </w:rPr>
      </w:pPr>
    </w:p>
    <w:p w14:paraId="47444E38" w14:textId="77777777" w:rsidR="000D59C4" w:rsidRDefault="00B07510">
      <w:pPr>
        <w:widowControl w:val="0"/>
        <w:autoSpaceDE w:val="0"/>
        <w:autoSpaceDN w:val="0"/>
        <w:adjustRightInd w:val="0"/>
        <w:spacing w:after="0" w:line="240" w:lineRule="auto"/>
        <w:jc w:val="center"/>
        <w:rPr>
          <w:rFonts w:ascii="Palatino Linotype" w:hAnsi="Palatino Linotype" w:cs="Palatino Linotype"/>
          <w:sz w:val="24"/>
          <w:szCs w:val="24"/>
          <w:lang w:val="en"/>
        </w:rPr>
      </w:pPr>
      <w:r w:rsidRPr="00B07510">
        <w:rPr>
          <w:rFonts w:ascii="Calibri" w:hAnsi="Calibri" w:cs="Calibri"/>
          <w:noProof/>
        </w:rPr>
        <w:drawing>
          <wp:inline distT="0" distB="0" distL="0" distR="0" wp14:anchorId="4AA6255C" wp14:editId="62F428DD">
            <wp:extent cx="6276975" cy="17716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6276975" cy="1771650"/>
                    </a:xfrm>
                    <a:prstGeom prst="rect">
                      <a:avLst/>
                    </a:prstGeom>
                    <a:noFill/>
                    <a:ln>
                      <a:noFill/>
                    </a:ln>
                  </pic:spPr>
                </pic:pic>
              </a:graphicData>
            </a:graphic>
          </wp:inline>
        </w:drawing>
      </w:r>
    </w:p>
    <w:p w14:paraId="22798A4B" w14:textId="77777777" w:rsidR="000D59C4" w:rsidRDefault="000D59C4">
      <w:pPr>
        <w:widowControl w:val="0"/>
        <w:autoSpaceDE w:val="0"/>
        <w:autoSpaceDN w:val="0"/>
        <w:adjustRightInd w:val="0"/>
        <w:spacing w:after="0" w:line="240" w:lineRule="auto"/>
        <w:jc w:val="center"/>
        <w:rPr>
          <w:rFonts w:ascii="Times New Roman" w:hAnsi="Times New Roman" w:cs="Times New Roman"/>
          <w:sz w:val="16"/>
          <w:szCs w:val="16"/>
          <w:lang w:val="en"/>
        </w:rPr>
      </w:pPr>
      <w:r>
        <w:rPr>
          <w:rFonts w:ascii="Times New Roman" w:hAnsi="Times New Roman" w:cs="Times New Roman"/>
          <w:sz w:val="16"/>
          <w:szCs w:val="16"/>
          <w:lang w:val="en"/>
        </w:rPr>
        <w:t>Image by Noam Berg</w:t>
      </w:r>
    </w:p>
    <w:p w14:paraId="2BBB31D2" w14:textId="77777777" w:rsidR="000D59C4" w:rsidRDefault="000D59C4">
      <w:pPr>
        <w:widowControl w:val="0"/>
        <w:autoSpaceDE w:val="0"/>
        <w:autoSpaceDN w:val="0"/>
        <w:adjustRightInd w:val="0"/>
        <w:spacing w:after="0" w:line="240" w:lineRule="auto"/>
        <w:jc w:val="center"/>
        <w:rPr>
          <w:rFonts w:ascii="Palatino Linotype" w:hAnsi="Palatino Linotype" w:cs="Palatino Linotype"/>
          <w:sz w:val="16"/>
          <w:szCs w:val="16"/>
          <w:lang w:val="en"/>
        </w:rPr>
      </w:pPr>
    </w:p>
    <w:p w14:paraId="4772FF35" w14:textId="77777777" w:rsidR="000D59C4" w:rsidRDefault="000D59C4">
      <w:pPr>
        <w:widowControl w:val="0"/>
        <w:autoSpaceDE w:val="0"/>
        <w:autoSpaceDN w:val="0"/>
        <w:adjustRightInd w:val="0"/>
        <w:spacing w:after="0" w:line="240" w:lineRule="auto"/>
        <w:rPr>
          <w:rFonts w:ascii="Palatino Linotype" w:hAnsi="Palatino Linotype" w:cs="Palatino Linotype"/>
          <w:sz w:val="24"/>
          <w:szCs w:val="24"/>
          <w:lang w:val="en"/>
        </w:rPr>
      </w:pPr>
      <w:r>
        <w:rPr>
          <w:rFonts w:ascii="Palatino Linotype" w:hAnsi="Palatino Linotype" w:cs="Palatino Linotype"/>
          <w:sz w:val="24"/>
          <w:szCs w:val="24"/>
          <w:lang w:val="en"/>
        </w:rPr>
        <w:tab/>
        <w:t>The key to restoring this system to efficient operation is to recreate a perfect fit of the plunger rod to the barrel. The barrel plug (“packing unit”) must be re-packed so that it holds the rod tightly, and the piston’s flexible washer must be replaced so that it produces a tight seal as it moves down the barrel forward the nib. Both piston and barrel plug must be tight enough to create a vacuum sufficient to fill the pen, but must also allow the piston to be actuated without fuss by the average pen user. Finally, the restoration must produce a pen that will fill reliably when used continually over a long period of time.</w:t>
      </w:r>
    </w:p>
    <w:p w14:paraId="21B57DC1" w14:textId="1A41DDC3" w:rsidR="000D59C4" w:rsidRDefault="000D59C4" w:rsidP="00350194">
      <w:pPr>
        <w:widowControl w:val="0"/>
        <w:autoSpaceDE w:val="0"/>
        <w:autoSpaceDN w:val="0"/>
        <w:adjustRightInd w:val="0"/>
        <w:spacing w:after="0" w:line="240" w:lineRule="auto"/>
        <w:rPr>
          <w:rFonts w:ascii="Palatino Linotype" w:hAnsi="Palatino Linotype" w:cs="Palatino Linotype"/>
          <w:b/>
          <w:bCs/>
          <w:sz w:val="24"/>
          <w:szCs w:val="24"/>
          <w:lang w:val="en"/>
        </w:rPr>
      </w:pPr>
      <w:r>
        <w:rPr>
          <w:rFonts w:ascii="Palatino Linotype" w:hAnsi="Palatino Linotype" w:cs="Palatino Linotype"/>
          <w:sz w:val="24"/>
          <w:szCs w:val="24"/>
          <w:lang w:val="en"/>
        </w:rPr>
        <w:tab/>
        <w:t xml:space="preserve">I re-pack the packing unit with </w:t>
      </w:r>
      <w:r w:rsidR="00350194">
        <w:rPr>
          <w:rFonts w:ascii="Palatino Linotype" w:hAnsi="Palatino Linotype" w:cs="Palatino Linotype"/>
          <w:sz w:val="24"/>
          <w:szCs w:val="24"/>
          <w:lang w:val="en"/>
        </w:rPr>
        <w:t xml:space="preserve">a </w:t>
      </w:r>
      <w:r w:rsidR="00350194">
        <w:rPr>
          <w:rFonts w:ascii="Palatino Linotype" w:hAnsi="Palatino Linotype" w:cs="Palatino Linotype"/>
          <w:sz w:val="24"/>
          <w:szCs w:val="24"/>
          <w:lang w:val="en"/>
        </w:rPr>
        <w:t>fluorocarbon</w:t>
      </w:r>
      <w:r w:rsidR="00350194">
        <w:rPr>
          <w:rFonts w:ascii="Palatino Linotype" w:hAnsi="Palatino Linotype" w:cs="Palatino Linotype"/>
          <w:sz w:val="24"/>
          <w:szCs w:val="24"/>
          <w:lang w:val="en"/>
        </w:rPr>
        <w:t xml:space="preserve"> O-ring. </w:t>
      </w:r>
      <w:r>
        <w:rPr>
          <w:rFonts w:ascii="Palatino Linotype" w:hAnsi="Palatino Linotype" w:cs="Palatino Linotype"/>
          <w:sz w:val="24"/>
          <w:szCs w:val="24"/>
          <w:lang w:val="en"/>
        </w:rPr>
        <w:t xml:space="preserve">The plunger </w:t>
      </w:r>
      <w:r w:rsidR="002721F6">
        <w:rPr>
          <w:rFonts w:ascii="Palatino Linotype" w:hAnsi="Palatino Linotype" w:cs="Palatino Linotype"/>
          <w:sz w:val="24"/>
          <w:szCs w:val="24"/>
          <w:lang w:val="en"/>
        </w:rPr>
        <w:t xml:space="preserve">washer is made from </w:t>
      </w:r>
      <w:r>
        <w:rPr>
          <w:rFonts w:ascii="Palatino Linotype" w:hAnsi="Palatino Linotype" w:cs="Palatino Linotype"/>
          <w:sz w:val="24"/>
          <w:szCs w:val="24"/>
          <w:lang w:val="en"/>
        </w:rPr>
        <w:t>Buna-N synthetic rubber and cut with precision tools</w:t>
      </w:r>
      <w:r w:rsidR="00C0029F">
        <w:rPr>
          <w:rFonts w:ascii="Palatino Linotype" w:hAnsi="Palatino Linotype" w:cs="Palatino Linotype"/>
          <w:sz w:val="24"/>
          <w:szCs w:val="24"/>
          <w:lang w:val="en"/>
        </w:rPr>
        <w:t xml:space="preserve"> of</w:t>
      </w:r>
      <w:bookmarkStart w:id="0" w:name="_GoBack"/>
      <w:bookmarkEnd w:id="0"/>
      <w:r>
        <w:rPr>
          <w:rFonts w:ascii="Palatino Linotype" w:hAnsi="Palatino Linotype" w:cs="Palatino Linotype"/>
          <w:sz w:val="24"/>
          <w:szCs w:val="24"/>
          <w:lang w:val="en"/>
        </w:rPr>
        <w:t xml:space="preserve"> </w:t>
      </w:r>
      <w:r w:rsidR="00C0029F">
        <w:rPr>
          <w:rFonts w:ascii="Palatino Linotype" w:hAnsi="Palatino Linotype" w:cs="Palatino Linotype"/>
          <w:sz w:val="24"/>
          <w:szCs w:val="24"/>
          <w:lang w:val="en"/>
        </w:rPr>
        <w:t>304 stainless steel</w:t>
      </w:r>
      <w:r w:rsidR="00C0029F">
        <w:rPr>
          <w:rFonts w:ascii="Palatino Linotype" w:hAnsi="Palatino Linotype" w:cs="Palatino Linotype"/>
          <w:sz w:val="24"/>
          <w:szCs w:val="24"/>
          <w:lang w:val="en"/>
        </w:rPr>
        <w:t xml:space="preserve"> </w:t>
      </w:r>
      <w:r w:rsidR="00350194">
        <w:rPr>
          <w:rFonts w:ascii="Palatino Linotype" w:hAnsi="Palatino Linotype" w:cs="Palatino Linotype"/>
          <w:sz w:val="24"/>
          <w:szCs w:val="24"/>
          <w:lang w:val="en"/>
        </w:rPr>
        <w:t>which I have designed and made myself.</w:t>
      </w:r>
      <w:r>
        <w:rPr>
          <w:rFonts w:ascii="Palatino Linotype" w:hAnsi="Palatino Linotype" w:cs="Palatino Linotype"/>
          <w:b/>
          <w:bCs/>
          <w:sz w:val="24"/>
          <w:szCs w:val="24"/>
          <w:lang w:val="en"/>
        </w:rPr>
        <w:t xml:space="preserve"> </w:t>
      </w:r>
    </w:p>
    <w:sectPr w:rsidR="000D59C4">
      <w:pgSz w:w="12240" w:h="15840"/>
      <w:pgMar w:top="1440" w:right="1440" w:bottom="1440" w:left="144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8"/>
  <w:embedSystemFonts/>
  <w:bordersDoNotSurroundHeader/>
  <w:bordersDoNotSurroundFooter/>
  <w:proofState w:spelling="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compat>
    <w:spaceForUL/>
    <w:balanceSingleByteDoubleByteWidth/>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2"/>
    <w:compatSetting w:name="useWord2013TrackBottomHyphenation" w:uri="http://schemas.microsoft.com/office/word" w:val="1"/>
  </w:compat>
  <w:rsids>
    <w:rsidRoot w:val="00C34BC8"/>
    <w:rsid w:val="000D59C4"/>
    <w:rsid w:val="00226DF8"/>
    <w:rsid w:val="002721F6"/>
    <w:rsid w:val="00350194"/>
    <w:rsid w:val="004C3C1C"/>
    <w:rsid w:val="00B07510"/>
    <w:rsid w:val="00C0029F"/>
    <w:rsid w:val="00C34BC8"/>
    <w:rsid w:val="00DF372E"/>
    <w:rsid w:val="00E82FDC"/>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E6728DF"/>
  <w14:defaultImageDpi w14:val="0"/>
  <w15:docId w15:val="{5CE738C5-1F7F-47EE-A751-BF914F2357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imes New Roman"/>
        <w:sz w:val="22"/>
        <w:szCs w:val="22"/>
        <w:lang w:val="en-US" w:eastAsia="en-US" w:bidi="he-I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721F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2721F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Pages>
  <Words>268</Words>
  <Characters>1532</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Gerry Berg</dc:creator>
  <cp:keywords/>
  <dc:description/>
  <cp:lastModifiedBy>Gerry Berg</cp:lastModifiedBy>
  <cp:revision>3</cp:revision>
  <cp:lastPrinted>2017-06-23T17:05:00Z</cp:lastPrinted>
  <dcterms:created xsi:type="dcterms:W3CDTF">2019-02-18T13:21:00Z</dcterms:created>
  <dcterms:modified xsi:type="dcterms:W3CDTF">2019-02-18T13:22:00Z</dcterms:modified>
</cp:coreProperties>
</file>